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9A3" w:rsidRPr="00ED2D82" w:rsidRDefault="00ED2D82" w:rsidP="00A978D9">
      <w:pPr>
        <w:pStyle w:val="Heading1"/>
        <w:jc w:val="center"/>
        <w:rPr>
          <w:rFonts w:ascii="Arial" w:hAnsi="Arial" w:cs="Arial"/>
          <w:sz w:val="32"/>
          <w:szCs w:val="32"/>
          <w:u w:val="single"/>
        </w:rPr>
      </w:pPr>
      <w:r w:rsidRPr="00ED2D82">
        <w:rPr>
          <w:rFonts w:ascii="Arial" w:hAnsi="Arial" w:cs="Arial"/>
          <w:sz w:val="32"/>
          <w:szCs w:val="32"/>
          <w:u w:val="single"/>
        </w:rPr>
        <w:t>De-escalation Health</w:t>
      </w:r>
    </w:p>
    <w:p w14:paraId="00000002" w14:textId="77777777" w:rsidR="00EB29A3" w:rsidRPr="00ED2D82" w:rsidRDefault="00ED2D82" w:rsidP="00A978D9">
      <w:pPr>
        <w:pStyle w:val="Heading2"/>
        <w:rPr>
          <w:rFonts w:ascii="Arial" w:hAnsi="Arial" w:cs="Arial"/>
          <w:sz w:val="28"/>
          <w:szCs w:val="28"/>
        </w:rPr>
      </w:pPr>
      <w:r w:rsidRPr="00ED2D82">
        <w:rPr>
          <w:rFonts w:ascii="Arial" w:hAnsi="Arial" w:cs="Arial"/>
          <w:sz w:val="28"/>
          <w:szCs w:val="28"/>
        </w:rPr>
        <w:t>Description</w:t>
      </w:r>
    </w:p>
    <w:p w14:paraId="00000003" w14:textId="77777777" w:rsidR="00EB29A3" w:rsidRPr="00ED2D82" w:rsidRDefault="00ED2D82">
      <w:pPr>
        <w:spacing w:before="240" w:after="240"/>
        <w:rPr>
          <w:rFonts w:ascii="Arial" w:hAnsi="Arial" w:cs="Arial"/>
        </w:rPr>
      </w:pPr>
      <w:r w:rsidRPr="00ED2D82">
        <w:rPr>
          <w:rFonts w:ascii="Arial" w:hAnsi="Arial" w:cs="Arial"/>
        </w:rPr>
        <w:t>A female nurse asks four male visitors of a traumatic brain injured patient to be quiet and reminds them of the hospital policy of a maximum of two visitors per patient. They do not comply and become rowdier.</w:t>
      </w:r>
    </w:p>
    <w:p w14:paraId="00000004" w14:textId="77777777" w:rsidR="00EB29A3" w:rsidRPr="00ED2D82" w:rsidRDefault="00ED2D82" w:rsidP="00A978D9">
      <w:pPr>
        <w:pStyle w:val="Heading2"/>
        <w:rPr>
          <w:rFonts w:ascii="Arial" w:hAnsi="Arial" w:cs="Arial"/>
          <w:sz w:val="28"/>
          <w:szCs w:val="28"/>
        </w:rPr>
      </w:pPr>
      <w:r w:rsidRPr="00ED2D82">
        <w:rPr>
          <w:rFonts w:ascii="Arial" w:hAnsi="Arial" w:cs="Arial"/>
          <w:sz w:val="28"/>
          <w:szCs w:val="28"/>
        </w:rPr>
        <w:t>Notes to Facilitator</w:t>
      </w:r>
    </w:p>
    <w:p w14:paraId="00000006" w14:textId="34AD7269" w:rsidR="00EB29A3" w:rsidRDefault="00ED2D82">
      <w:pPr>
        <w:spacing w:before="240" w:after="240"/>
        <w:rPr>
          <w:rFonts w:ascii="Arial" w:hAnsi="Arial" w:cs="Arial"/>
        </w:rPr>
      </w:pPr>
      <w:r w:rsidRPr="00ED2D82">
        <w:rPr>
          <w:rFonts w:ascii="Arial" w:hAnsi="Arial" w:cs="Arial"/>
        </w:rPr>
        <w:t xml:space="preserve">There can be four to six participants in each breakout group. While gender could be a significant factor in the scenario, the make-up of participant groups need not be; however, a mixed gender group is recommended. Recognize that the content and discussion may be triggering for some participants. </w:t>
      </w:r>
    </w:p>
    <w:p w14:paraId="7D0B04A0" w14:textId="76E83C33" w:rsidR="006B4456" w:rsidRPr="006B4456" w:rsidRDefault="006B4456">
      <w:pPr>
        <w:spacing w:before="240" w:after="240"/>
        <w:rPr>
          <w:rFonts w:ascii="Arial" w:hAnsi="Arial" w:cs="Arial"/>
        </w:rPr>
      </w:pPr>
      <w:r w:rsidRPr="006B4456">
        <w:rPr>
          <w:rFonts w:ascii="Arial" w:hAnsi="Arial" w:cs="Arial"/>
        </w:rPr>
        <w:t>What are your learning objectives for this exercise or course? What prompts could you add to extend or expand the simulation in that direction? What additional resources or assignments might you add? </w:t>
      </w:r>
    </w:p>
    <w:p w14:paraId="00000007" w14:textId="77777777" w:rsidR="00EB29A3" w:rsidRPr="00ED2D82" w:rsidRDefault="00ED2D82" w:rsidP="00A978D9">
      <w:pPr>
        <w:pStyle w:val="Heading2"/>
        <w:rPr>
          <w:rFonts w:ascii="Arial" w:hAnsi="Arial" w:cs="Arial"/>
          <w:sz w:val="28"/>
          <w:szCs w:val="28"/>
        </w:rPr>
      </w:pPr>
      <w:r w:rsidRPr="00ED2D82">
        <w:rPr>
          <w:rFonts w:ascii="Arial" w:hAnsi="Arial" w:cs="Arial"/>
          <w:sz w:val="28"/>
          <w:szCs w:val="28"/>
        </w:rPr>
        <w:t>Notes for Participants</w:t>
      </w:r>
    </w:p>
    <w:p w14:paraId="00000008" w14:textId="113BAE4C" w:rsidR="00EB29A3" w:rsidRPr="00ED2D82" w:rsidRDefault="00ED2D82">
      <w:pPr>
        <w:rPr>
          <w:rFonts w:ascii="Arial" w:hAnsi="Arial" w:cs="Arial"/>
        </w:rPr>
      </w:pPr>
      <w:r w:rsidRPr="00ED2D82">
        <w:rPr>
          <w:rFonts w:ascii="Arial" w:hAnsi="Arial" w:cs="Arial"/>
        </w:rPr>
        <w:t>As you watch the video</w:t>
      </w:r>
      <w:r w:rsidR="00A978D9" w:rsidRPr="00ED2D82">
        <w:rPr>
          <w:rFonts w:ascii="Arial" w:hAnsi="Arial" w:cs="Arial"/>
        </w:rPr>
        <w:t xml:space="preserve"> below</w:t>
      </w:r>
      <w:r w:rsidRPr="00ED2D82">
        <w:rPr>
          <w:rFonts w:ascii="Arial" w:hAnsi="Arial" w:cs="Arial"/>
        </w:rPr>
        <w:t xml:space="preserve">, consider whether you would react in the same way, or whether you might say or do something differently, or at different times during the scenario. </w:t>
      </w:r>
    </w:p>
    <w:p w14:paraId="00000009" w14:textId="77777777" w:rsidR="00EB29A3" w:rsidRPr="00ED2D82" w:rsidRDefault="00ED2D82" w:rsidP="00A978D9">
      <w:pPr>
        <w:pStyle w:val="Heading2"/>
        <w:rPr>
          <w:rFonts w:ascii="Arial" w:hAnsi="Arial" w:cs="Arial"/>
          <w:sz w:val="28"/>
          <w:szCs w:val="28"/>
        </w:rPr>
      </w:pPr>
      <w:r w:rsidRPr="00ED2D82">
        <w:rPr>
          <w:rFonts w:ascii="Arial" w:hAnsi="Arial" w:cs="Arial"/>
          <w:sz w:val="28"/>
          <w:szCs w:val="28"/>
        </w:rPr>
        <w:t>Foundational Scenario</w:t>
      </w:r>
    </w:p>
    <w:p w14:paraId="0000000A" w14:textId="41A5BCDF" w:rsidR="00EB29A3" w:rsidRPr="00ED2D82" w:rsidRDefault="00A63769">
      <w:pPr>
        <w:rPr>
          <w:rFonts w:ascii="Arial" w:eastAsia="Times New Roman" w:hAnsi="Arial" w:cs="Arial"/>
          <w:sz w:val="24"/>
          <w:szCs w:val="24"/>
        </w:rPr>
      </w:pPr>
      <w:sdt>
        <w:sdtPr>
          <w:rPr>
            <w:rFonts w:ascii="Arial" w:hAnsi="Arial" w:cs="Arial"/>
          </w:rPr>
          <w:tag w:val="goog_rdk_0"/>
          <w:id w:val="-748267985"/>
        </w:sdtPr>
        <w:sdtEndPr/>
        <w:sdtContent/>
      </w:sdt>
      <w:r w:rsidR="006B4456">
        <w:rPr>
          <w:rFonts w:ascii="Arial" w:hAnsi="Arial" w:cs="Arial"/>
          <w:b/>
        </w:rPr>
        <w:t xml:space="preserve">Watch: </w:t>
      </w:r>
      <w:hyperlink r:id="rId9" w:history="1">
        <w:r w:rsidR="006B4456">
          <w:rPr>
            <w:rStyle w:val="Hyperlink"/>
            <w:rFonts w:ascii="Arial" w:hAnsi="Arial" w:cs="Arial"/>
            <w:b/>
          </w:rPr>
          <w:t>The Rowdy Bunch</w:t>
        </w:r>
      </w:hyperlink>
      <w:r w:rsidR="006B4456">
        <w:rPr>
          <w:rStyle w:val="FootnoteReference"/>
          <w:rFonts w:ascii="Arial" w:hAnsi="Arial" w:cs="Arial"/>
          <w:b/>
        </w:rPr>
        <w:footnoteReference w:id="1"/>
      </w:r>
      <w:r w:rsidR="006B4456">
        <w:rPr>
          <w:rFonts w:ascii="Arial" w:hAnsi="Arial" w:cs="Arial"/>
          <w:b/>
        </w:rPr>
        <w:t xml:space="preserve"> </w:t>
      </w:r>
    </w:p>
    <w:p w14:paraId="0000000B" w14:textId="77777777" w:rsidR="00EB29A3" w:rsidRPr="00ED2D82" w:rsidRDefault="00ED2D82" w:rsidP="00A978D9">
      <w:pPr>
        <w:pStyle w:val="Heading2"/>
        <w:rPr>
          <w:rFonts w:ascii="Arial" w:hAnsi="Arial" w:cs="Arial"/>
          <w:sz w:val="28"/>
          <w:szCs w:val="28"/>
        </w:rPr>
      </w:pPr>
      <w:bookmarkStart w:id="0" w:name="_heading=h.gjdgxs" w:colFirst="0" w:colLast="0"/>
      <w:bookmarkEnd w:id="0"/>
      <w:r w:rsidRPr="00ED2D82">
        <w:rPr>
          <w:rFonts w:ascii="Arial" w:hAnsi="Arial" w:cs="Arial"/>
          <w:sz w:val="28"/>
          <w:szCs w:val="28"/>
        </w:rPr>
        <w:t>Scenario #1</w:t>
      </w:r>
    </w:p>
    <w:p w14:paraId="0000000C" w14:textId="77777777" w:rsidR="00EB29A3" w:rsidRPr="00ED2D82" w:rsidRDefault="00ED2D82">
      <w:pPr>
        <w:rPr>
          <w:rFonts w:ascii="Arial" w:hAnsi="Arial" w:cs="Arial"/>
        </w:rPr>
      </w:pPr>
      <w:r w:rsidRPr="00ED2D82">
        <w:rPr>
          <w:rFonts w:ascii="Arial" w:hAnsi="Arial" w:cs="Arial"/>
        </w:rPr>
        <w:t xml:space="preserve">Based on the video, you have been asked to serve on a task force exploring de-escalation techniques to use with hospital visitors who do not adhere to hospital policies. Consider who might be asked to serve on this task force (e.g., hospital security, human resource personnel, union executive, former patient, family member, etc.) and assign individual group members to these specific roles. Your team has been tasked with </w:t>
      </w:r>
      <w:r w:rsidRPr="00ED2D82">
        <w:rPr>
          <w:rFonts w:ascii="Arial" w:hAnsi="Arial" w:cs="Arial"/>
          <w:b/>
        </w:rPr>
        <w:t>exploring</w:t>
      </w:r>
      <w:r w:rsidRPr="00ED2D82">
        <w:rPr>
          <w:rFonts w:ascii="Arial" w:hAnsi="Arial" w:cs="Arial"/>
        </w:rPr>
        <w:t xml:space="preserve"> and </w:t>
      </w:r>
      <w:r w:rsidRPr="00ED2D82">
        <w:rPr>
          <w:rFonts w:ascii="Arial" w:hAnsi="Arial" w:cs="Arial"/>
          <w:b/>
        </w:rPr>
        <w:t>reporting</w:t>
      </w:r>
      <w:r w:rsidRPr="00ED2D82">
        <w:rPr>
          <w:rFonts w:ascii="Arial" w:hAnsi="Arial" w:cs="Arial"/>
        </w:rPr>
        <w:t xml:space="preserve"> on possible ways to approach and de-escalate a rowdy bunch such as the one in the video. Consider a) ways to approach, b) who to approach, and c) possible responses. Your suggestions will be used to evoke meaningful conversations among hospital staff.</w:t>
      </w:r>
    </w:p>
    <w:p w14:paraId="0000000D" w14:textId="77777777" w:rsidR="00EB29A3" w:rsidRPr="00ED2D82" w:rsidRDefault="00ED2D82" w:rsidP="00A978D9">
      <w:pPr>
        <w:pStyle w:val="Heading2"/>
        <w:rPr>
          <w:rFonts w:ascii="Arial" w:hAnsi="Arial" w:cs="Arial"/>
          <w:sz w:val="28"/>
          <w:szCs w:val="28"/>
        </w:rPr>
      </w:pPr>
      <w:r w:rsidRPr="00ED2D82">
        <w:rPr>
          <w:rFonts w:ascii="Arial" w:hAnsi="Arial" w:cs="Arial"/>
          <w:sz w:val="28"/>
          <w:szCs w:val="28"/>
        </w:rPr>
        <w:lastRenderedPageBreak/>
        <w:t>Scenario #2</w:t>
      </w:r>
    </w:p>
    <w:p w14:paraId="498C3EAB" w14:textId="30857DFB" w:rsidR="007D333C" w:rsidRDefault="00ED2D82">
      <w:pPr>
        <w:rPr>
          <w:rFonts w:ascii="Arial" w:hAnsi="Arial" w:cs="Arial"/>
        </w:rPr>
      </w:pPr>
      <w:r w:rsidRPr="00ED2D82">
        <w:rPr>
          <w:rFonts w:ascii="Arial" w:hAnsi="Arial" w:cs="Arial"/>
        </w:rPr>
        <w:t>Using the suggestions generated in Scenario #1, choose one person to play the hospital worker and three others to be the rowdy bunch. Try role playing the scenario in different ways to generate ideas.</w:t>
      </w:r>
    </w:p>
    <w:p w14:paraId="3BF57028" w14:textId="1696C162" w:rsidR="007D333C" w:rsidRPr="007D333C" w:rsidRDefault="00A63769" w:rsidP="007D333C">
      <w:pPr>
        <w:pStyle w:val="Heading2"/>
        <w:rPr>
          <w:rFonts w:ascii="Arial" w:hAnsi="Arial" w:cs="Arial"/>
          <w:sz w:val="28"/>
          <w:szCs w:val="28"/>
        </w:rPr>
      </w:pPr>
      <w:hyperlink r:id="rId10" w:history="1">
        <w:r w:rsidR="007D333C">
          <w:rPr>
            <w:rStyle w:val="Hyperlink"/>
            <w:rFonts w:ascii="Arial" w:hAnsi="Arial" w:cs="Arial"/>
            <w:sz w:val="28"/>
            <w:szCs w:val="28"/>
          </w:rPr>
          <w:t>Watch an Example with Learners of this Case</w:t>
        </w:r>
      </w:hyperlink>
      <w:r w:rsidR="007D333C">
        <w:rPr>
          <w:rFonts w:ascii="Arial" w:hAnsi="Arial" w:cs="Arial"/>
          <w:sz w:val="28"/>
          <w:szCs w:val="28"/>
        </w:rPr>
        <w:t xml:space="preserve"> </w:t>
      </w:r>
    </w:p>
    <w:p w14:paraId="0000000F" w14:textId="77777777" w:rsidR="00EB29A3" w:rsidRPr="00ED2D82" w:rsidRDefault="00ED2D82" w:rsidP="00A978D9">
      <w:pPr>
        <w:pStyle w:val="Heading2"/>
        <w:rPr>
          <w:rFonts w:ascii="Arial" w:hAnsi="Arial" w:cs="Arial"/>
          <w:sz w:val="28"/>
          <w:szCs w:val="28"/>
        </w:rPr>
      </w:pPr>
      <w:r w:rsidRPr="00ED2D82">
        <w:rPr>
          <w:rFonts w:ascii="Arial" w:hAnsi="Arial" w:cs="Arial"/>
          <w:sz w:val="28"/>
          <w:szCs w:val="28"/>
        </w:rPr>
        <w:t>Debrief</w:t>
      </w:r>
    </w:p>
    <w:p w14:paraId="00000010" w14:textId="77777777" w:rsidR="00EB29A3" w:rsidRPr="00ED2D82" w:rsidRDefault="00ED2D82" w:rsidP="00A978D9">
      <w:pPr>
        <w:pStyle w:val="Heading3"/>
        <w:rPr>
          <w:rFonts w:ascii="Arial" w:hAnsi="Arial" w:cs="Arial"/>
          <w:b w:val="0"/>
          <w:bCs/>
          <w:i/>
          <w:iCs/>
          <w:sz w:val="24"/>
          <w:szCs w:val="24"/>
        </w:rPr>
      </w:pPr>
      <w:r w:rsidRPr="00ED2D82">
        <w:rPr>
          <w:rFonts w:ascii="Arial" w:hAnsi="Arial" w:cs="Arial"/>
          <w:b w:val="0"/>
          <w:bCs/>
          <w:i/>
          <w:iCs/>
          <w:sz w:val="24"/>
          <w:szCs w:val="24"/>
        </w:rPr>
        <w:t xml:space="preserve">Interpersonal (in role as task force) </w:t>
      </w:r>
    </w:p>
    <w:p w14:paraId="00000011" w14:textId="77777777" w:rsidR="00EB29A3" w:rsidRPr="00ED2D82" w:rsidRDefault="00EB29A3">
      <w:pPr>
        <w:spacing w:after="0" w:line="240" w:lineRule="auto"/>
        <w:rPr>
          <w:rFonts w:ascii="Arial" w:hAnsi="Arial" w:cs="Arial"/>
        </w:rPr>
      </w:pPr>
    </w:p>
    <w:p w14:paraId="00000012" w14:textId="77777777" w:rsidR="00EB29A3" w:rsidRPr="00ED2D82" w:rsidRDefault="00ED2D82">
      <w:pPr>
        <w:numPr>
          <w:ilvl w:val="0"/>
          <w:numId w:val="1"/>
        </w:numPr>
        <w:spacing w:after="0" w:line="240" w:lineRule="auto"/>
        <w:rPr>
          <w:rFonts w:ascii="Arial" w:hAnsi="Arial" w:cs="Arial"/>
        </w:rPr>
      </w:pPr>
      <w:r w:rsidRPr="00ED2D82">
        <w:rPr>
          <w:rFonts w:ascii="Arial" w:hAnsi="Arial" w:cs="Arial"/>
        </w:rPr>
        <w:t>Did your team agree on each other’s suggestions? If not, why not?</w:t>
      </w:r>
    </w:p>
    <w:p w14:paraId="00000013" w14:textId="77777777" w:rsidR="00EB29A3" w:rsidRPr="00ED2D82" w:rsidRDefault="00ED2D82">
      <w:pPr>
        <w:numPr>
          <w:ilvl w:val="0"/>
          <w:numId w:val="1"/>
        </w:numPr>
        <w:spacing w:after="0" w:line="240" w:lineRule="auto"/>
        <w:rPr>
          <w:rFonts w:ascii="Arial" w:hAnsi="Arial" w:cs="Arial"/>
        </w:rPr>
      </w:pPr>
      <w:r w:rsidRPr="00ED2D82">
        <w:rPr>
          <w:rFonts w:ascii="Arial" w:hAnsi="Arial" w:cs="Arial"/>
        </w:rPr>
        <w:t>What were the pros and cons of each suggested technique?</w:t>
      </w:r>
    </w:p>
    <w:p w14:paraId="00000014" w14:textId="77777777" w:rsidR="00EB29A3" w:rsidRPr="00ED2D82" w:rsidRDefault="00ED2D82">
      <w:pPr>
        <w:numPr>
          <w:ilvl w:val="0"/>
          <w:numId w:val="1"/>
        </w:numPr>
        <w:spacing w:after="0" w:line="240" w:lineRule="auto"/>
        <w:rPr>
          <w:rFonts w:ascii="Arial" w:hAnsi="Arial" w:cs="Arial"/>
        </w:rPr>
      </w:pPr>
      <w:r w:rsidRPr="00ED2D82">
        <w:rPr>
          <w:rFonts w:ascii="Arial" w:hAnsi="Arial" w:cs="Arial"/>
        </w:rPr>
        <w:t>Based on your level of agreement were you able to complete the task?</w:t>
      </w:r>
    </w:p>
    <w:p w14:paraId="00000015" w14:textId="77777777" w:rsidR="00EB29A3" w:rsidRPr="00ED2D82" w:rsidRDefault="00EB29A3">
      <w:pPr>
        <w:spacing w:after="0" w:line="240" w:lineRule="auto"/>
        <w:ind w:left="720"/>
        <w:rPr>
          <w:rFonts w:ascii="Arial" w:hAnsi="Arial" w:cs="Arial"/>
        </w:rPr>
      </w:pPr>
    </w:p>
    <w:p w14:paraId="00000019" w14:textId="706FDF5B" w:rsidR="00EB29A3" w:rsidRPr="00ED2D82" w:rsidRDefault="00ED2D82" w:rsidP="00A978D9">
      <w:pPr>
        <w:pStyle w:val="Heading3"/>
        <w:rPr>
          <w:rFonts w:ascii="Arial" w:hAnsi="Arial" w:cs="Arial"/>
          <w:b w:val="0"/>
          <w:bCs/>
          <w:i/>
          <w:iCs/>
          <w:sz w:val="24"/>
          <w:szCs w:val="24"/>
        </w:rPr>
      </w:pPr>
      <w:r w:rsidRPr="00ED2D82">
        <w:rPr>
          <w:rFonts w:ascii="Arial" w:hAnsi="Arial" w:cs="Arial"/>
          <w:b w:val="0"/>
          <w:bCs/>
          <w:i/>
          <w:iCs/>
          <w:sz w:val="24"/>
          <w:szCs w:val="24"/>
        </w:rPr>
        <w:t>Issues</w:t>
      </w:r>
    </w:p>
    <w:p w14:paraId="0000001A" w14:textId="77777777" w:rsidR="00EB29A3" w:rsidRPr="00ED2D82" w:rsidRDefault="00EB29A3">
      <w:pPr>
        <w:spacing w:after="0" w:line="240" w:lineRule="auto"/>
        <w:ind w:firstLine="720"/>
        <w:rPr>
          <w:rFonts w:ascii="Arial" w:hAnsi="Arial" w:cs="Arial"/>
        </w:rPr>
      </w:pPr>
    </w:p>
    <w:p w14:paraId="2A419057" w14:textId="77777777" w:rsidR="00A978D9" w:rsidRPr="00ED2D82" w:rsidRDefault="00ED2D82" w:rsidP="00A978D9">
      <w:pPr>
        <w:numPr>
          <w:ilvl w:val="0"/>
          <w:numId w:val="3"/>
        </w:numPr>
        <w:spacing w:after="0" w:line="240" w:lineRule="auto"/>
        <w:ind w:left="540"/>
        <w:rPr>
          <w:rFonts w:ascii="Arial" w:hAnsi="Arial" w:cs="Arial"/>
        </w:rPr>
      </w:pPr>
      <w:r w:rsidRPr="00ED2D82">
        <w:rPr>
          <w:rFonts w:ascii="Arial" w:hAnsi="Arial" w:cs="Arial"/>
        </w:rPr>
        <w:t>Is de-escalation possible in this scenario or should other measures be brought in?</w:t>
      </w:r>
    </w:p>
    <w:p w14:paraId="11A33A91" w14:textId="77777777" w:rsidR="00A978D9" w:rsidRPr="00ED2D82" w:rsidRDefault="00ED2D82" w:rsidP="00A978D9">
      <w:pPr>
        <w:numPr>
          <w:ilvl w:val="0"/>
          <w:numId w:val="5"/>
        </w:numPr>
        <w:spacing w:after="0" w:line="240" w:lineRule="auto"/>
        <w:rPr>
          <w:rFonts w:ascii="Arial" w:hAnsi="Arial" w:cs="Arial"/>
        </w:rPr>
      </w:pPr>
      <w:r w:rsidRPr="00ED2D82">
        <w:rPr>
          <w:rFonts w:ascii="Arial" w:hAnsi="Arial" w:cs="Arial"/>
        </w:rPr>
        <w:t>Explore the concept of zero tolerance.</w:t>
      </w:r>
    </w:p>
    <w:p w14:paraId="0000001D" w14:textId="419F26E0" w:rsidR="00EB29A3" w:rsidRPr="00ED2D82" w:rsidRDefault="00ED2D82" w:rsidP="00A978D9">
      <w:pPr>
        <w:numPr>
          <w:ilvl w:val="0"/>
          <w:numId w:val="5"/>
        </w:numPr>
        <w:spacing w:after="0" w:line="240" w:lineRule="auto"/>
        <w:rPr>
          <w:rFonts w:ascii="Arial" w:hAnsi="Arial" w:cs="Arial"/>
        </w:rPr>
      </w:pPr>
      <w:r w:rsidRPr="00ED2D82">
        <w:rPr>
          <w:rFonts w:ascii="Arial" w:hAnsi="Arial" w:cs="Arial"/>
          <w:color w:val="000000"/>
        </w:rPr>
        <w:t>When would you consider de-escalation unsafe?</w:t>
      </w:r>
    </w:p>
    <w:p w14:paraId="0000001E" w14:textId="77777777" w:rsidR="00EB29A3" w:rsidRPr="00ED2D82" w:rsidRDefault="00ED2D82">
      <w:pPr>
        <w:numPr>
          <w:ilvl w:val="0"/>
          <w:numId w:val="3"/>
        </w:numPr>
        <w:spacing w:after="0" w:line="240" w:lineRule="auto"/>
        <w:ind w:left="540"/>
        <w:rPr>
          <w:rFonts w:ascii="Arial" w:hAnsi="Arial" w:cs="Arial"/>
        </w:rPr>
      </w:pPr>
      <w:r w:rsidRPr="00ED2D82">
        <w:rPr>
          <w:rFonts w:ascii="Arial" w:hAnsi="Arial" w:cs="Arial"/>
        </w:rPr>
        <w:t>What hospital staff should be involved in this type of de-escalation? Is it a nurse’s responsibility? If not, then whose?</w:t>
      </w:r>
    </w:p>
    <w:p w14:paraId="0000001F" w14:textId="77777777" w:rsidR="00EB29A3" w:rsidRPr="00ED2D82" w:rsidRDefault="00ED2D82">
      <w:pPr>
        <w:numPr>
          <w:ilvl w:val="0"/>
          <w:numId w:val="3"/>
        </w:numPr>
        <w:spacing w:after="0" w:line="240" w:lineRule="auto"/>
        <w:ind w:left="540"/>
        <w:rPr>
          <w:rFonts w:ascii="Arial" w:hAnsi="Arial" w:cs="Arial"/>
        </w:rPr>
      </w:pPr>
      <w:r w:rsidRPr="00ED2D82">
        <w:rPr>
          <w:rFonts w:ascii="Arial" w:hAnsi="Arial" w:cs="Arial"/>
        </w:rPr>
        <w:t>Suggest steps one could take on how to de-escalate including assessing the situation, how to approach, establishing rapport, when to walk away, etc.</w:t>
      </w:r>
    </w:p>
    <w:p w14:paraId="00000020" w14:textId="77777777" w:rsidR="00EB29A3" w:rsidRPr="00ED2D82" w:rsidRDefault="00ED2D82">
      <w:pPr>
        <w:numPr>
          <w:ilvl w:val="0"/>
          <w:numId w:val="3"/>
        </w:numPr>
        <w:spacing w:after="0" w:line="240" w:lineRule="auto"/>
        <w:ind w:left="540"/>
        <w:rPr>
          <w:rFonts w:ascii="Arial" w:hAnsi="Arial" w:cs="Arial"/>
        </w:rPr>
      </w:pPr>
      <w:r w:rsidRPr="00ED2D82">
        <w:rPr>
          <w:rFonts w:ascii="Arial" w:hAnsi="Arial" w:cs="Arial"/>
        </w:rPr>
        <w:t>Would your suggestions to address the situation change, based on gender, sexual orientation, age and/or race of the characters?</w:t>
      </w:r>
    </w:p>
    <w:p w14:paraId="00000021" w14:textId="77777777" w:rsidR="00EB29A3" w:rsidRPr="00ED2D82" w:rsidRDefault="00ED2D82">
      <w:pPr>
        <w:numPr>
          <w:ilvl w:val="0"/>
          <w:numId w:val="3"/>
        </w:numPr>
        <w:spacing w:after="0" w:line="240" w:lineRule="auto"/>
        <w:ind w:left="540"/>
        <w:rPr>
          <w:rFonts w:ascii="Arial" w:hAnsi="Arial" w:cs="Arial"/>
        </w:rPr>
      </w:pPr>
      <w:r w:rsidRPr="00ED2D82">
        <w:rPr>
          <w:rFonts w:ascii="Arial" w:hAnsi="Arial" w:cs="Arial"/>
        </w:rPr>
        <w:t>If the decision is to call security, but security takes 20-40 minutes to arrive, what do you do in the interim?</w:t>
      </w:r>
    </w:p>
    <w:p w14:paraId="00000022" w14:textId="77777777" w:rsidR="00EB29A3" w:rsidRPr="00ED2D82" w:rsidRDefault="00EB29A3">
      <w:pPr>
        <w:spacing w:after="0" w:line="240" w:lineRule="auto"/>
        <w:rPr>
          <w:rFonts w:ascii="Arial" w:hAnsi="Arial" w:cs="Arial"/>
        </w:rPr>
      </w:pPr>
    </w:p>
    <w:p w14:paraId="00000026" w14:textId="16A51B49" w:rsidR="00EB29A3" w:rsidRPr="00ED2D82" w:rsidRDefault="00ED2D82" w:rsidP="00A978D9">
      <w:pPr>
        <w:pStyle w:val="Heading2"/>
        <w:rPr>
          <w:rFonts w:ascii="Arial" w:hAnsi="Arial" w:cs="Arial"/>
          <w:sz w:val="28"/>
          <w:szCs w:val="28"/>
        </w:rPr>
      </w:pPr>
      <w:r w:rsidRPr="00ED2D82">
        <w:rPr>
          <w:rFonts w:ascii="Arial" w:hAnsi="Arial" w:cs="Arial"/>
          <w:sz w:val="28"/>
          <w:szCs w:val="28"/>
        </w:rPr>
        <w:t>Extensions</w:t>
      </w:r>
    </w:p>
    <w:p w14:paraId="578C07A7" w14:textId="77777777" w:rsidR="00A978D9" w:rsidRPr="00ED2D82" w:rsidRDefault="00A978D9" w:rsidP="00A978D9">
      <w:pPr>
        <w:numPr>
          <w:ilvl w:val="0"/>
          <w:numId w:val="6"/>
        </w:numPr>
        <w:spacing w:before="100" w:beforeAutospacing="1" w:after="100" w:afterAutospacing="1" w:line="240" w:lineRule="auto"/>
        <w:rPr>
          <w:rFonts w:ascii="Arial" w:hAnsi="Arial" w:cs="Arial"/>
        </w:rPr>
      </w:pPr>
      <w:r w:rsidRPr="00ED2D82">
        <w:rPr>
          <w:rFonts w:ascii="Arial" w:hAnsi="Arial" w:cs="Arial"/>
        </w:rPr>
        <w:t xml:space="preserve">See </w:t>
      </w:r>
      <w:hyperlink r:id="rId11" w:history="1">
        <w:r w:rsidRPr="00ED2D82">
          <w:rPr>
            <w:rStyle w:val="Hyperlink"/>
            <w:rFonts w:ascii="Arial" w:hAnsi="Arial" w:cs="Arial"/>
          </w:rPr>
          <w:t>Scene 14</w:t>
        </w:r>
      </w:hyperlink>
      <w:r w:rsidRPr="00ED2D82">
        <w:rPr>
          <w:rFonts w:ascii="Arial" w:hAnsi="Arial" w:cs="Arial"/>
        </w:rPr>
        <w:t xml:space="preserve"> and </w:t>
      </w:r>
      <w:hyperlink r:id="rId12" w:history="1">
        <w:r w:rsidRPr="00ED2D82">
          <w:rPr>
            <w:rStyle w:val="Hyperlink"/>
            <w:rFonts w:ascii="Arial" w:hAnsi="Arial" w:cs="Arial"/>
          </w:rPr>
          <w:t>Scene 18</w:t>
        </w:r>
      </w:hyperlink>
      <w:r w:rsidRPr="00ED2D82">
        <w:rPr>
          <w:rFonts w:ascii="Arial" w:hAnsi="Arial" w:cs="Arial"/>
        </w:rPr>
        <w:t xml:space="preserve"> from “</w:t>
      </w:r>
      <w:hyperlink r:id="rId13" w:history="1">
        <w:r w:rsidRPr="00ED2D82">
          <w:rPr>
            <w:rStyle w:val="Hyperlink"/>
            <w:rFonts w:ascii="Arial" w:hAnsi="Arial" w:cs="Arial"/>
          </w:rPr>
          <w:t>Person-Centred Care: Finding Dignity within the Shadows</w:t>
        </w:r>
      </w:hyperlink>
      <w:r w:rsidRPr="00ED2D82">
        <w:rPr>
          <w:rFonts w:ascii="Arial" w:hAnsi="Arial" w:cs="Arial"/>
        </w:rPr>
        <w:t>”</w:t>
      </w:r>
    </w:p>
    <w:p w14:paraId="320E85A8" w14:textId="77777777" w:rsidR="00A978D9" w:rsidRPr="00ED2D82" w:rsidRDefault="00A978D9" w:rsidP="00A978D9">
      <w:pPr>
        <w:numPr>
          <w:ilvl w:val="1"/>
          <w:numId w:val="6"/>
        </w:numPr>
        <w:spacing w:before="100" w:beforeAutospacing="1" w:after="100" w:afterAutospacing="1" w:line="240" w:lineRule="auto"/>
        <w:rPr>
          <w:rFonts w:ascii="Arial" w:hAnsi="Arial" w:cs="Arial"/>
        </w:rPr>
      </w:pPr>
      <w:r w:rsidRPr="00ED2D82">
        <w:rPr>
          <w:rFonts w:ascii="Arial" w:hAnsi="Arial" w:cs="Arial"/>
        </w:rPr>
        <w:t>Is de-escalation always possible?</w:t>
      </w:r>
    </w:p>
    <w:p w14:paraId="722A5EC3" w14:textId="3CD84D74" w:rsidR="00A978D9" w:rsidRPr="00ED2D82" w:rsidRDefault="00A978D9" w:rsidP="00A978D9">
      <w:pPr>
        <w:numPr>
          <w:ilvl w:val="1"/>
          <w:numId w:val="6"/>
        </w:numPr>
        <w:spacing w:before="100" w:beforeAutospacing="1" w:after="100" w:afterAutospacing="1" w:line="240" w:lineRule="auto"/>
        <w:rPr>
          <w:rFonts w:ascii="Arial" w:hAnsi="Arial" w:cs="Arial"/>
        </w:rPr>
      </w:pPr>
      <w:r w:rsidRPr="00ED2D82">
        <w:rPr>
          <w:rFonts w:ascii="Arial" w:hAnsi="Arial" w:cs="Arial"/>
        </w:rPr>
        <w:t>How is abuse normalized; should it be?</w:t>
      </w:r>
    </w:p>
    <w:p w14:paraId="5CF36377" w14:textId="77777777" w:rsidR="00ED2D82" w:rsidRPr="00ED2D82" w:rsidRDefault="00ED2D82" w:rsidP="00ED2D82">
      <w:pPr>
        <w:pStyle w:val="Heading2"/>
        <w:rPr>
          <w:rFonts w:ascii="Arial" w:hAnsi="Arial" w:cs="Arial"/>
          <w:sz w:val="28"/>
          <w:szCs w:val="28"/>
        </w:rPr>
      </w:pPr>
      <w:r w:rsidRPr="00ED2D82">
        <w:rPr>
          <w:rFonts w:ascii="Arial" w:hAnsi="Arial" w:cs="Arial"/>
          <w:sz w:val="28"/>
          <w:szCs w:val="28"/>
        </w:rPr>
        <w:t>Assignments</w:t>
      </w:r>
    </w:p>
    <w:p w14:paraId="003BADF1" w14:textId="77777777" w:rsidR="00ED2D82" w:rsidRPr="00ED2D82" w:rsidRDefault="00ED2D82" w:rsidP="00ED2D82">
      <w:pPr>
        <w:spacing w:after="0" w:line="240" w:lineRule="auto"/>
        <w:rPr>
          <w:rFonts w:ascii="Arial" w:hAnsi="Arial" w:cs="Arial"/>
        </w:rPr>
      </w:pPr>
      <w:r w:rsidRPr="00ED2D82">
        <w:rPr>
          <w:rFonts w:ascii="Arial" w:hAnsi="Arial" w:cs="Arial"/>
        </w:rPr>
        <w:t xml:space="preserve">The following suggestions could be undertaken either as a group or individually. They could be written as reflections, offered for discussion, or submitted as assignments for grading. </w:t>
      </w:r>
    </w:p>
    <w:p w14:paraId="0C8CA4A3" w14:textId="77777777" w:rsidR="00ED2D82" w:rsidRPr="00ED2D82" w:rsidRDefault="00ED2D82" w:rsidP="00ED2D82">
      <w:pPr>
        <w:numPr>
          <w:ilvl w:val="0"/>
          <w:numId w:val="2"/>
        </w:numPr>
        <w:spacing w:after="0" w:line="240" w:lineRule="auto"/>
        <w:rPr>
          <w:rFonts w:ascii="Arial" w:hAnsi="Arial" w:cs="Arial"/>
        </w:rPr>
      </w:pPr>
      <w:r w:rsidRPr="00ED2D82">
        <w:rPr>
          <w:rFonts w:ascii="Arial" w:hAnsi="Arial" w:cs="Arial"/>
        </w:rPr>
        <w:t xml:space="preserve">Search “Hospital respect signs” on the web. Choose a few and discuss their tone and how effective they might be. </w:t>
      </w:r>
    </w:p>
    <w:p w14:paraId="0A94A988" w14:textId="77777777" w:rsidR="00ED2D82" w:rsidRPr="00ED2D82" w:rsidRDefault="00ED2D82" w:rsidP="00ED2D82">
      <w:pPr>
        <w:numPr>
          <w:ilvl w:val="0"/>
          <w:numId w:val="2"/>
        </w:numPr>
        <w:spacing w:after="0" w:line="240" w:lineRule="auto"/>
        <w:rPr>
          <w:rFonts w:ascii="Arial" w:hAnsi="Arial" w:cs="Arial"/>
        </w:rPr>
      </w:pPr>
      <w:r w:rsidRPr="00ED2D82">
        <w:rPr>
          <w:rFonts w:ascii="Arial" w:hAnsi="Arial" w:cs="Arial"/>
        </w:rPr>
        <w:lastRenderedPageBreak/>
        <w:t>Based on the above research, create your own respect sign for placement throughout the hospital. Debate the degree of regulation and the degree of call to respect. Annotate your rationale with footnotes.</w:t>
      </w:r>
    </w:p>
    <w:p w14:paraId="04387D9F" w14:textId="77777777" w:rsidR="00ED2D82" w:rsidRPr="00ED2D82" w:rsidRDefault="00ED2D82" w:rsidP="00ED2D82">
      <w:pPr>
        <w:numPr>
          <w:ilvl w:val="0"/>
          <w:numId w:val="2"/>
        </w:numPr>
        <w:spacing w:after="0" w:line="240" w:lineRule="auto"/>
        <w:rPr>
          <w:rFonts w:ascii="Arial" w:hAnsi="Arial" w:cs="Arial"/>
        </w:rPr>
      </w:pPr>
      <w:r w:rsidRPr="00ED2D82">
        <w:rPr>
          <w:rFonts w:ascii="Arial" w:hAnsi="Arial" w:cs="Arial"/>
        </w:rPr>
        <w:t>As a task force, research multiple sources to create your own a) hospital harassment policy and b) procedures on how to de-escalate and enforce these policies.</w:t>
      </w:r>
    </w:p>
    <w:p w14:paraId="0000002C" w14:textId="650BC5DF" w:rsidR="00EB29A3" w:rsidRPr="007D333C" w:rsidRDefault="00ED2D82" w:rsidP="007D333C">
      <w:pPr>
        <w:numPr>
          <w:ilvl w:val="0"/>
          <w:numId w:val="2"/>
        </w:numPr>
        <w:spacing w:after="0" w:line="240" w:lineRule="auto"/>
        <w:rPr>
          <w:rFonts w:ascii="Arial" w:hAnsi="Arial" w:cs="Arial"/>
        </w:rPr>
      </w:pPr>
      <w:r w:rsidRPr="00ED2D82">
        <w:rPr>
          <w:rFonts w:ascii="Arial" w:hAnsi="Arial" w:cs="Arial"/>
        </w:rPr>
        <w:t>Could de-escalation be considered a form of victim-blaming? Juxtapose the balance of responsibilities and rights of hospital staff.</w:t>
      </w:r>
    </w:p>
    <w:p w14:paraId="0000002D" w14:textId="77777777" w:rsidR="00EB29A3" w:rsidRPr="00ED2D82" w:rsidRDefault="00EB29A3">
      <w:pPr>
        <w:spacing w:after="0" w:line="240" w:lineRule="auto"/>
        <w:rPr>
          <w:rFonts w:ascii="Arial" w:hAnsi="Arial" w:cs="Arial"/>
        </w:rPr>
      </w:pPr>
    </w:p>
    <w:p w14:paraId="0000002E" w14:textId="77777777" w:rsidR="00EB29A3" w:rsidRPr="00ED2D82" w:rsidRDefault="00ED2D82" w:rsidP="00ED2D82">
      <w:pPr>
        <w:pStyle w:val="Heading2"/>
        <w:rPr>
          <w:rFonts w:ascii="Arial" w:hAnsi="Arial" w:cs="Arial"/>
          <w:sz w:val="28"/>
          <w:szCs w:val="28"/>
        </w:rPr>
      </w:pPr>
      <w:r w:rsidRPr="00ED2D82">
        <w:rPr>
          <w:rFonts w:ascii="Arial" w:hAnsi="Arial" w:cs="Arial"/>
          <w:sz w:val="28"/>
          <w:szCs w:val="28"/>
        </w:rPr>
        <w:t>Readings</w:t>
      </w:r>
    </w:p>
    <w:p w14:paraId="48870BDD"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14" w:history="1">
        <w:r w:rsidR="00ED2D82" w:rsidRPr="00ED2D82">
          <w:rPr>
            <w:rStyle w:val="Hyperlink"/>
            <w:rFonts w:ascii="Arial" w:hAnsi="Arial" w:cs="Arial"/>
          </w:rPr>
          <w:t xml:space="preserve">Brophy, J., Keith, M., &amp; Hurley, M. (2019). Breaking point: Violence against long-term care staff. </w:t>
        </w:r>
        <w:r w:rsidR="00ED2D82" w:rsidRPr="00ED2D82">
          <w:rPr>
            <w:rStyle w:val="Emphasis"/>
            <w:rFonts w:ascii="Arial" w:hAnsi="Arial" w:cs="Arial"/>
            <w:color w:val="0000FF"/>
            <w:u w:val="single"/>
          </w:rPr>
          <w:t>NEW SOLUTIONS: A Journal of Environmental and Occupational Health Policy 29</w:t>
        </w:r>
        <w:r w:rsidR="00ED2D82" w:rsidRPr="00ED2D82">
          <w:rPr>
            <w:rStyle w:val="Hyperlink"/>
            <w:rFonts w:ascii="Arial" w:hAnsi="Arial" w:cs="Arial"/>
          </w:rPr>
          <w:t>(1), 10–35.</w:t>
        </w:r>
      </w:hyperlink>
    </w:p>
    <w:p w14:paraId="7FDF068E"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15" w:history="1">
        <w:r w:rsidR="00ED2D82" w:rsidRPr="00ED2D82">
          <w:rPr>
            <w:rStyle w:val="Hyperlink"/>
            <w:rFonts w:ascii="Arial" w:hAnsi="Arial" w:cs="Arial"/>
          </w:rPr>
          <w:t xml:space="preserve">Harden, J. (1996). Enlightenment, </w:t>
        </w:r>
        <w:proofErr w:type="gramStart"/>
        <w:r w:rsidR="00ED2D82" w:rsidRPr="00ED2D82">
          <w:rPr>
            <w:rStyle w:val="Hyperlink"/>
            <w:rFonts w:ascii="Arial" w:hAnsi="Arial" w:cs="Arial"/>
          </w:rPr>
          <w:t>empowerment</w:t>
        </w:r>
        <w:proofErr w:type="gramEnd"/>
        <w:r w:rsidR="00ED2D82" w:rsidRPr="00ED2D82">
          <w:rPr>
            <w:rStyle w:val="Hyperlink"/>
            <w:rFonts w:ascii="Arial" w:hAnsi="Arial" w:cs="Arial"/>
          </w:rPr>
          <w:t xml:space="preserve"> and emancipation: The case for critical pedagogy in nurse education. </w:t>
        </w:r>
        <w:r w:rsidR="00ED2D82" w:rsidRPr="00ED2D82">
          <w:rPr>
            <w:rStyle w:val="Emphasis"/>
            <w:rFonts w:ascii="Arial" w:hAnsi="Arial" w:cs="Arial"/>
            <w:color w:val="0000FF"/>
            <w:u w:val="single"/>
          </w:rPr>
          <w:t>Nurse Education Today, 16</w:t>
        </w:r>
        <w:r w:rsidR="00ED2D82" w:rsidRPr="00ED2D82">
          <w:rPr>
            <w:rStyle w:val="Hyperlink"/>
            <w:rFonts w:ascii="Arial" w:hAnsi="Arial" w:cs="Arial"/>
          </w:rPr>
          <w:t>(1), 32–37.</w:t>
        </w:r>
      </w:hyperlink>
    </w:p>
    <w:p w14:paraId="2A0B7DA8" w14:textId="77777777" w:rsidR="00ED2D82" w:rsidRPr="00ED2D82" w:rsidRDefault="00ED2D82" w:rsidP="00ED2D82">
      <w:pPr>
        <w:spacing w:before="100" w:beforeAutospacing="1" w:after="100" w:afterAutospacing="1" w:line="240" w:lineRule="auto"/>
        <w:ind w:left="1077" w:hanging="720"/>
        <w:rPr>
          <w:rFonts w:ascii="Arial" w:hAnsi="Arial" w:cs="Arial"/>
        </w:rPr>
      </w:pPr>
      <w:r w:rsidRPr="00ED2D82">
        <w:rPr>
          <w:rFonts w:ascii="Arial" w:hAnsi="Arial" w:cs="Arial"/>
        </w:rPr>
        <w:t xml:space="preserve">Hobbs, K. (2019). </w:t>
      </w:r>
      <w:r w:rsidRPr="00ED2D82">
        <w:rPr>
          <w:rStyle w:val="Emphasis"/>
          <w:rFonts w:ascii="Arial" w:hAnsi="Arial" w:cs="Arial"/>
        </w:rPr>
        <w:t>To Know Their Stories: Using Playbuilding to Develop a Training/Orientation Video on Person-Centered Care</w:t>
      </w:r>
      <w:r w:rsidRPr="00ED2D82">
        <w:rPr>
          <w:rFonts w:ascii="Arial" w:hAnsi="Arial" w:cs="Arial"/>
        </w:rPr>
        <w:t>. Brock University.</w:t>
      </w:r>
    </w:p>
    <w:p w14:paraId="15E06A7A"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16" w:history="1">
        <w:r w:rsidR="00ED2D82" w:rsidRPr="00ED2D82">
          <w:rPr>
            <w:rStyle w:val="Hyperlink"/>
            <w:rFonts w:ascii="Arial" w:hAnsi="Arial" w:cs="Arial"/>
          </w:rPr>
          <w:t xml:space="preserve">Kapoor, S &amp; Grover, N. (2021). Strengthening contextual policy and training can empower nurses to reduce their sexual harassment. </w:t>
        </w:r>
        <w:r w:rsidR="00ED2D82" w:rsidRPr="00ED2D82">
          <w:rPr>
            <w:rStyle w:val="Emphasis"/>
            <w:rFonts w:ascii="Arial" w:hAnsi="Arial" w:cs="Arial"/>
            <w:color w:val="0000FF"/>
            <w:u w:val="single"/>
          </w:rPr>
          <w:t>Evidence-based nursing 24</w:t>
        </w:r>
        <w:r w:rsidR="00ED2D82" w:rsidRPr="00ED2D82">
          <w:rPr>
            <w:rStyle w:val="Hyperlink"/>
            <w:rFonts w:ascii="Arial" w:hAnsi="Arial" w:cs="Arial"/>
          </w:rPr>
          <w:t xml:space="preserve">(4), 139. </w:t>
        </w:r>
      </w:hyperlink>
    </w:p>
    <w:p w14:paraId="5D6198FE"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17" w:history="1">
        <w:r w:rsidR="00ED2D82" w:rsidRPr="00ED2D82">
          <w:rPr>
            <w:rStyle w:val="Hyperlink"/>
            <w:rFonts w:ascii="Arial" w:hAnsi="Arial" w:cs="Arial"/>
          </w:rPr>
          <w:t xml:space="preserve">Liu, J., Gan, Y., Jiang, H., Li, L., Dwyer, R., Lu, K., Yan, S., Sampson, O., Xu, H., Wang, C., Zhu, Y., Chang, Y., Yang, Y., Yang, T., Chen, Y., Song, F., &amp; Lu, Z. (2019). Prevalence of workplace violence against healthcare workers: a systematic review and meta-analysis. </w:t>
        </w:r>
        <w:r w:rsidR="00ED2D82" w:rsidRPr="00ED2D82">
          <w:rPr>
            <w:rStyle w:val="Emphasis"/>
            <w:rFonts w:ascii="Arial" w:hAnsi="Arial" w:cs="Arial"/>
            <w:color w:val="0000FF"/>
            <w:u w:val="single"/>
          </w:rPr>
          <w:t>Occupational and Environmental Medicine, 76</w:t>
        </w:r>
        <w:r w:rsidR="00ED2D82" w:rsidRPr="00ED2D82">
          <w:rPr>
            <w:rStyle w:val="Hyperlink"/>
            <w:rFonts w:ascii="Arial" w:hAnsi="Arial" w:cs="Arial"/>
          </w:rPr>
          <w:t>(12), 927.</w:t>
        </w:r>
      </w:hyperlink>
      <w:r w:rsidR="00ED2D82" w:rsidRPr="00ED2D82">
        <w:rPr>
          <w:rFonts w:ascii="Arial" w:hAnsi="Arial" w:cs="Arial"/>
        </w:rPr>
        <w:t xml:space="preserve"> </w:t>
      </w:r>
    </w:p>
    <w:p w14:paraId="04373DD7"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18" w:history="1">
        <w:r w:rsidR="00ED2D82" w:rsidRPr="00ED2D82">
          <w:rPr>
            <w:rStyle w:val="Hyperlink"/>
            <w:rFonts w:ascii="Arial" w:hAnsi="Arial" w:cs="Arial"/>
          </w:rPr>
          <w:t xml:space="preserve">Lu, L, Dong, M, Lok, GKI, et al. (2020) Worldwide prevalence of sexual harassment towards nurses: A comprehensive meta-analysis of observational studies. </w:t>
        </w:r>
        <w:r w:rsidR="00ED2D82" w:rsidRPr="00ED2D82">
          <w:rPr>
            <w:rStyle w:val="Emphasis"/>
            <w:rFonts w:ascii="Arial" w:hAnsi="Arial" w:cs="Arial"/>
            <w:color w:val="0000FF"/>
            <w:u w:val="single"/>
          </w:rPr>
          <w:t>Journal of Advanced Nursing 76</w:t>
        </w:r>
        <w:r w:rsidR="00ED2D82" w:rsidRPr="00ED2D82">
          <w:rPr>
            <w:rStyle w:val="Hyperlink"/>
            <w:rFonts w:ascii="Arial" w:hAnsi="Arial" w:cs="Arial"/>
          </w:rPr>
          <w:t>: 980– 990.</w:t>
        </w:r>
      </w:hyperlink>
    </w:p>
    <w:p w14:paraId="564C145B"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19" w:history="1">
        <w:proofErr w:type="spellStart"/>
        <w:r w:rsidR="00ED2D82" w:rsidRPr="00ED2D82">
          <w:rPr>
            <w:rStyle w:val="Hyperlink"/>
            <w:rFonts w:ascii="Arial" w:hAnsi="Arial" w:cs="Arial"/>
          </w:rPr>
          <w:t>Magnavita</w:t>
        </w:r>
        <w:proofErr w:type="spellEnd"/>
        <w:r w:rsidR="00ED2D82" w:rsidRPr="00ED2D82">
          <w:rPr>
            <w:rStyle w:val="Hyperlink"/>
            <w:rFonts w:ascii="Arial" w:hAnsi="Arial" w:cs="Arial"/>
          </w:rPr>
          <w:t xml:space="preserve">, N., </w:t>
        </w:r>
        <w:proofErr w:type="spellStart"/>
        <w:r w:rsidR="00ED2D82" w:rsidRPr="00ED2D82">
          <w:rPr>
            <w:rStyle w:val="Hyperlink"/>
            <w:rFonts w:ascii="Arial" w:hAnsi="Arial" w:cs="Arial"/>
          </w:rPr>
          <w:t>Heponiemi</w:t>
        </w:r>
        <w:proofErr w:type="spellEnd"/>
        <w:r w:rsidR="00ED2D82" w:rsidRPr="00ED2D82">
          <w:rPr>
            <w:rStyle w:val="Hyperlink"/>
            <w:rFonts w:ascii="Arial" w:hAnsi="Arial" w:cs="Arial"/>
          </w:rPr>
          <w:t xml:space="preserve">, T. &amp; Chirico, F. (2020). Workplace Violence Is Associated </w:t>
        </w:r>
        <w:proofErr w:type="gramStart"/>
        <w:r w:rsidR="00ED2D82" w:rsidRPr="00ED2D82">
          <w:rPr>
            <w:rStyle w:val="Hyperlink"/>
            <w:rFonts w:ascii="Arial" w:hAnsi="Arial" w:cs="Arial"/>
          </w:rPr>
          <w:t>With</w:t>
        </w:r>
        <w:proofErr w:type="gramEnd"/>
        <w:r w:rsidR="00ED2D82" w:rsidRPr="00ED2D82">
          <w:rPr>
            <w:rStyle w:val="Hyperlink"/>
            <w:rFonts w:ascii="Arial" w:hAnsi="Arial" w:cs="Arial"/>
          </w:rPr>
          <w:t xml:space="preserve"> Impaired Work Functioning in Nurses: An Italian Cross-Sectional Study. </w:t>
        </w:r>
        <w:r w:rsidR="00ED2D82" w:rsidRPr="00ED2D82">
          <w:rPr>
            <w:rStyle w:val="Emphasis"/>
            <w:rFonts w:ascii="Arial" w:hAnsi="Arial" w:cs="Arial"/>
            <w:color w:val="0000FF"/>
            <w:u w:val="single"/>
          </w:rPr>
          <w:t>Journal of Nursing Scholarship, 52</w:t>
        </w:r>
        <w:r w:rsidR="00ED2D82" w:rsidRPr="00ED2D82">
          <w:rPr>
            <w:rStyle w:val="Hyperlink"/>
            <w:rFonts w:ascii="Arial" w:hAnsi="Arial" w:cs="Arial"/>
          </w:rPr>
          <w:t>(3), 281-291.</w:t>
        </w:r>
      </w:hyperlink>
    </w:p>
    <w:p w14:paraId="3FB5CA30" w14:textId="77777777" w:rsidR="00ED2D82" w:rsidRPr="00ED2D82" w:rsidRDefault="00A63769" w:rsidP="00ED2D82">
      <w:pPr>
        <w:spacing w:before="100" w:beforeAutospacing="1" w:after="100" w:afterAutospacing="1" w:line="240" w:lineRule="auto"/>
        <w:ind w:left="1077" w:hanging="720"/>
        <w:rPr>
          <w:rFonts w:ascii="Arial" w:hAnsi="Arial" w:cs="Arial"/>
        </w:rPr>
      </w:pPr>
      <w:hyperlink r:id="rId20" w:history="1">
        <w:r w:rsidR="00ED2D82" w:rsidRPr="00ED2D82">
          <w:rPr>
            <w:rStyle w:val="Hyperlink"/>
            <w:rFonts w:ascii="Arial" w:hAnsi="Arial" w:cs="Arial"/>
          </w:rPr>
          <w:t xml:space="preserve">Quinlan, E., Robertson, S., Urban, A.-M., Findlay, I. M., &amp; Bilson, B. (2020). Ameliorating Workplace Harassment among Direct Caregivers in Canada’s Healthcare System: A Theatre-Based Intervention. </w:t>
        </w:r>
        <w:r w:rsidR="00ED2D82" w:rsidRPr="00ED2D82">
          <w:rPr>
            <w:rStyle w:val="Emphasis"/>
            <w:rFonts w:ascii="Arial" w:hAnsi="Arial" w:cs="Arial"/>
            <w:color w:val="0000FF"/>
            <w:u w:val="single"/>
          </w:rPr>
          <w:t>Work, Employment and Society, 34</w:t>
        </w:r>
        <w:r w:rsidR="00ED2D82" w:rsidRPr="00ED2D82">
          <w:rPr>
            <w:rStyle w:val="Hyperlink"/>
            <w:rFonts w:ascii="Arial" w:hAnsi="Arial" w:cs="Arial"/>
          </w:rPr>
          <w:t>(4), 626–643.</w:t>
        </w:r>
      </w:hyperlink>
      <w:r w:rsidR="00ED2D82" w:rsidRPr="00ED2D82">
        <w:rPr>
          <w:rFonts w:ascii="Arial" w:hAnsi="Arial" w:cs="Arial"/>
        </w:rPr>
        <w:t> </w:t>
      </w:r>
    </w:p>
    <w:p w14:paraId="0000003E" w14:textId="77777777" w:rsidR="00EB29A3" w:rsidRPr="00ED2D82" w:rsidRDefault="00EB29A3">
      <w:pPr>
        <w:spacing w:after="0" w:line="240" w:lineRule="auto"/>
        <w:rPr>
          <w:rFonts w:ascii="Arial" w:hAnsi="Arial" w:cs="Arial"/>
        </w:rPr>
      </w:pPr>
    </w:p>
    <w:p w14:paraId="00000045" w14:textId="77777777" w:rsidR="00EB29A3" w:rsidRPr="00ED2D82" w:rsidRDefault="00EB29A3">
      <w:pPr>
        <w:rPr>
          <w:rFonts w:ascii="Arial" w:hAnsi="Arial" w:cs="Arial"/>
        </w:rPr>
      </w:pPr>
    </w:p>
    <w:sectPr w:rsidR="00EB29A3" w:rsidRPr="00ED2D8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4A70" w14:textId="77777777" w:rsidR="00A63769" w:rsidRDefault="00A63769" w:rsidP="006B4456">
      <w:pPr>
        <w:spacing w:after="0" w:line="240" w:lineRule="auto"/>
      </w:pPr>
      <w:r>
        <w:separator/>
      </w:r>
    </w:p>
  </w:endnote>
  <w:endnote w:type="continuationSeparator" w:id="0">
    <w:p w14:paraId="6BC08659" w14:textId="77777777" w:rsidR="00A63769" w:rsidRDefault="00A63769" w:rsidP="006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4C5D" w14:textId="77777777" w:rsidR="00A63769" w:rsidRDefault="00A63769" w:rsidP="006B4456">
      <w:pPr>
        <w:spacing w:after="0" w:line="240" w:lineRule="auto"/>
      </w:pPr>
      <w:r>
        <w:separator/>
      </w:r>
    </w:p>
  </w:footnote>
  <w:footnote w:type="continuationSeparator" w:id="0">
    <w:p w14:paraId="36E23240" w14:textId="77777777" w:rsidR="00A63769" w:rsidRDefault="00A63769" w:rsidP="006B4456">
      <w:pPr>
        <w:spacing w:after="0" w:line="240" w:lineRule="auto"/>
      </w:pPr>
      <w:r>
        <w:continuationSeparator/>
      </w:r>
    </w:p>
  </w:footnote>
  <w:footnote w:id="1">
    <w:p w14:paraId="0E4B822B" w14:textId="4C400E17" w:rsidR="006B4456" w:rsidRDefault="006B4456">
      <w:pPr>
        <w:pStyle w:val="FootnoteText"/>
      </w:pPr>
      <w:r>
        <w:rPr>
          <w:rStyle w:val="FootnoteReference"/>
        </w:rPr>
        <w:footnoteRef/>
      </w:r>
      <w:r>
        <w:t xml:space="preserve"> </w:t>
      </w:r>
      <w:r>
        <w:rPr>
          <w:rStyle w:val="Emphasis"/>
        </w:rPr>
        <w:t xml:space="preserve">© Mirror Theatre retains the rights to all videos and scripts produced by them, as indicated in the simulations. Go to </w:t>
      </w:r>
      <w:hyperlink r:id="rId1" w:history="1">
        <w:r>
          <w:rPr>
            <w:rStyle w:val="Hyperlink"/>
            <w:i/>
            <w:iCs/>
          </w:rPr>
          <w:t>mirrortheatre.ca</w:t>
        </w:r>
      </w:hyperlink>
      <w:r>
        <w:rPr>
          <w:rStyle w:val="Emphasis"/>
        </w:rP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3AE"/>
    <w:multiLevelType w:val="multilevel"/>
    <w:tmpl w:val="567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10F"/>
    <w:multiLevelType w:val="multilevel"/>
    <w:tmpl w:val="7090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2ACD"/>
    <w:multiLevelType w:val="multilevel"/>
    <w:tmpl w:val="4F24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012DBE"/>
    <w:multiLevelType w:val="multilevel"/>
    <w:tmpl w:val="33B61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13626F"/>
    <w:multiLevelType w:val="multilevel"/>
    <w:tmpl w:val="033C8B4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48E3AAE"/>
    <w:multiLevelType w:val="multilevel"/>
    <w:tmpl w:val="96D4F0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884303C"/>
    <w:multiLevelType w:val="multilevel"/>
    <w:tmpl w:val="4BC2B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A3"/>
    <w:rsid w:val="006B4456"/>
    <w:rsid w:val="007D333C"/>
    <w:rsid w:val="00A63769"/>
    <w:rsid w:val="00A978D9"/>
    <w:rsid w:val="00EB29A3"/>
    <w:rsid w:val="00ED2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50B5"/>
  <w15:docId w15:val="{EF708E52-6C04-4B4C-8147-1C9DAFCF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1AE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5705A"/>
    <w:rPr>
      <w:color w:val="0000FF"/>
      <w:u w:val="single"/>
    </w:rPr>
  </w:style>
  <w:style w:type="character" w:styleId="UnresolvedMention">
    <w:name w:val="Unresolved Mention"/>
    <w:basedOn w:val="DefaultParagraphFont"/>
    <w:uiPriority w:val="99"/>
    <w:semiHidden/>
    <w:unhideWhenUsed/>
    <w:rsid w:val="00CC673D"/>
    <w:rPr>
      <w:color w:val="605E5C"/>
      <w:shd w:val="clear" w:color="auto" w:fill="E1DFDD"/>
    </w:rPr>
  </w:style>
  <w:style w:type="character" w:styleId="Emphasis">
    <w:name w:val="Emphasis"/>
    <w:basedOn w:val="DefaultParagraphFont"/>
    <w:uiPriority w:val="20"/>
    <w:qFormat/>
    <w:rsid w:val="00ED2D82"/>
    <w:rPr>
      <w:i/>
      <w:iCs/>
    </w:rPr>
  </w:style>
  <w:style w:type="paragraph" w:styleId="FootnoteText">
    <w:name w:val="footnote text"/>
    <w:basedOn w:val="Normal"/>
    <w:link w:val="FootnoteTextChar"/>
    <w:uiPriority w:val="99"/>
    <w:semiHidden/>
    <w:unhideWhenUsed/>
    <w:rsid w:val="006B4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456"/>
    <w:rPr>
      <w:sz w:val="20"/>
      <w:szCs w:val="20"/>
    </w:rPr>
  </w:style>
  <w:style w:type="character" w:styleId="FootnoteReference">
    <w:name w:val="footnote reference"/>
    <w:basedOn w:val="DefaultParagraphFont"/>
    <w:uiPriority w:val="99"/>
    <w:semiHidden/>
    <w:unhideWhenUsed/>
    <w:rsid w:val="006B4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71">
      <w:bodyDiv w:val="1"/>
      <w:marLeft w:val="0"/>
      <w:marRight w:val="0"/>
      <w:marTop w:val="0"/>
      <w:marBottom w:val="0"/>
      <w:divBdr>
        <w:top w:val="none" w:sz="0" w:space="0" w:color="auto"/>
        <w:left w:val="none" w:sz="0" w:space="0" w:color="auto"/>
        <w:bottom w:val="none" w:sz="0" w:space="0" w:color="auto"/>
        <w:right w:val="none" w:sz="0" w:space="0" w:color="auto"/>
      </w:divBdr>
    </w:div>
    <w:div w:id="210071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rrortheatre.ca/performance/understanding-person-centered-care/" TargetMode="External"/><Relationship Id="rId18" Type="http://schemas.openxmlformats.org/officeDocument/2006/relationships/hyperlink" Target="https://doi-org.ezproxy.lib.ryerson.ca/10.1111/jan.1429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rIj7tXWAOvk" TargetMode="External"/><Relationship Id="rId17" Type="http://schemas.openxmlformats.org/officeDocument/2006/relationships/hyperlink" Target="http://dx.doi.org.ezproxy.lib.ryerson.ca/10.1136/oemed-2019-105849" TargetMode="External"/><Relationship Id="rId2" Type="http://schemas.openxmlformats.org/officeDocument/2006/relationships/customXml" Target="../customXml/item2.xml"/><Relationship Id="rId16" Type="http://schemas.openxmlformats.org/officeDocument/2006/relationships/hyperlink" Target="https://ebn.bmj.com/content/24/4/139" TargetMode="External"/><Relationship Id="rId20" Type="http://schemas.openxmlformats.org/officeDocument/2006/relationships/hyperlink" Target="https://doi.org/10.1177/09500170198672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Ez8HvSMegc" TargetMode="External"/><Relationship Id="rId5" Type="http://schemas.openxmlformats.org/officeDocument/2006/relationships/settings" Target="settings.xml"/><Relationship Id="rId15" Type="http://schemas.openxmlformats.org/officeDocument/2006/relationships/hyperlink" Target="https://doi-org.ezproxy.lib.ryerson.ca/10.1016/S0260-6917(96)80090-6" TargetMode="External"/><Relationship Id="rId10" Type="http://schemas.openxmlformats.org/officeDocument/2006/relationships/hyperlink" Target="https://www.youtube.com/watch?v=nxYC2vEcl3c" TargetMode="External"/><Relationship Id="rId19" Type="http://schemas.openxmlformats.org/officeDocument/2006/relationships/hyperlink" Target="http://dx.doi.org/10.1111/jnu.12549" TargetMode="External"/><Relationship Id="rId4" Type="http://schemas.openxmlformats.org/officeDocument/2006/relationships/styles" Target="styles.xml"/><Relationship Id="rId9" Type="http://schemas.openxmlformats.org/officeDocument/2006/relationships/hyperlink" Target="https://youtu.be/03REeEDCJP0" TargetMode="External"/><Relationship Id="rId14" Type="http://schemas.openxmlformats.org/officeDocument/2006/relationships/hyperlink" Target="https://doi.org/10.1177/104829111882487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irrorthea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GLcViDyDuxicBOahKiqriwEPw==">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3894F7-7DB3-4FF8-8D16-0D457A51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Hobbs</dc:creator>
  <cp:lastModifiedBy>Michael Metz</cp:lastModifiedBy>
  <cp:revision>2</cp:revision>
  <dcterms:created xsi:type="dcterms:W3CDTF">2022-02-28T12:39:00Z</dcterms:created>
  <dcterms:modified xsi:type="dcterms:W3CDTF">2022-02-28T12:39:00Z</dcterms:modified>
</cp:coreProperties>
</file>